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p>
    <w:p>
      <w:pPr>
        <w:widowControl/>
        <w:spacing w:line="560" w:lineRule="exact"/>
        <w:ind w:firstLine="640"/>
        <w:rPr>
          <w:rFonts w:ascii="黑体" w:hAnsi="黑体" w:eastAsia="黑体" w:cs="黑体"/>
          <w:bCs/>
          <w:sz w:val="32"/>
          <w:szCs w:val="32"/>
        </w:rPr>
      </w:pPr>
    </w:p>
    <w:p>
      <w:pPr>
        <w:widowControl/>
        <w:spacing w:line="560" w:lineRule="exact"/>
        <w:jc w:val="center"/>
        <w:rPr>
          <w:rFonts w:hint="eastAsia" w:ascii="方正小标宋_GBK" w:hAnsi="方正小标宋_GBK" w:eastAsia="方正小标宋_GBK" w:cs="方正小标宋_GBK"/>
          <w:bCs/>
          <w:color w:val="000000"/>
          <w:kern w:val="0"/>
          <w:sz w:val="44"/>
          <w:szCs w:val="44"/>
          <w:lang w:bidi="ar"/>
        </w:rPr>
      </w:pPr>
      <w:r>
        <w:rPr>
          <w:rFonts w:hint="eastAsia" w:ascii="方正小标宋_GBK" w:hAnsi="方正小标宋_GBK" w:eastAsia="方正小标宋_GBK" w:cs="方正小标宋_GBK"/>
          <w:bCs/>
          <w:color w:val="000000"/>
          <w:kern w:val="0"/>
          <w:sz w:val="44"/>
          <w:szCs w:val="44"/>
          <w:lang w:bidi="ar"/>
        </w:rPr>
        <w:t>关于做好2021年高等职业院校人才培养工作状态数据采集工作的通知</w:t>
      </w:r>
    </w:p>
    <w:p>
      <w:pPr>
        <w:widowControl/>
        <w:spacing w:before="254" w:beforeLines="80" w:after="254" w:afterLines="80" w:line="560" w:lineRule="exact"/>
        <w:jc w:val="cente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教职成司函〔2021〕33号</w:t>
      </w:r>
    </w:p>
    <w:p>
      <w:pPr>
        <w:widowControl/>
        <w:spacing w:line="560" w:lineRule="exac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各省、自治区、直辖市教育厅（教委），各计划单列市教育局，新疆生产建设兵团教育局:</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为深入贯彻落实全国职业教育大会精神，推进高等职业院校人才培养工作状态数据采集与管理平台（以下简称平台）建设与应用，提升职业教育数字治理水平，现就2021年平台数据采集工作通知如下。</w:t>
      </w:r>
    </w:p>
    <w:p>
      <w:pPr>
        <w:widowControl/>
        <w:spacing w:line="560" w:lineRule="exact"/>
        <w:ind w:firstLine="640"/>
        <w:rPr>
          <w:rStyle w:val="10"/>
          <w:rFonts w:hint="eastAsia" w:ascii="黑体" w:hAnsi="黑体" w:eastAsia="黑体" w:cs="黑体"/>
          <w:b w:val="0"/>
          <w:bCs/>
          <w:color w:val="000000"/>
          <w:kern w:val="0"/>
          <w:sz w:val="32"/>
          <w:szCs w:val="32"/>
          <w:lang w:bidi="ar"/>
        </w:rPr>
      </w:pPr>
      <w:r>
        <w:rPr>
          <w:rStyle w:val="10"/>
          <w:rFonts w:hint="eastAsia" w:ascii="黑体" w:hAnsi="黑体" w:eastAsia="黑体" w:cs="黑体"/>
          <w:b w:val="0"/>
          <w:bCs/>
          <w:color w:val="000000"/>
          <w:kern w:val="0"/>
          <w:sz w:val="32"/>
          <w:szCs w:val="32"/>
          <w:lang w:bidi="ar"/>
        </w:rPr>
        <w:t>一、采集范围</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独立设置的高等职业院校（包括专科、本科）均须按要求上传平台数据。因撤销备案、停止招生、数据涉密等原因不能按要求上传的学校，省级教育行政部门须于2021年10月31日前将学校名单及情况说明函报我司。</w:t>
      </w:r>
    </w:p>
    <w:p>
      <w:pPr>
        <w:widowControl/>
        <w:spacing w:line="560" w:lineRule="exact"/>
        <w:ind w:firstLine="640"/>
        <w:rPr>
          <w:rStyle w:val="10"/>
          <w:rFonts w:hint="eastAsia" w:ascii="黑体" w:hAnsi="黑体" w:eastAsia="黑体" w:cs="黑体"/>
          <w:b w:val="0"/>
          <w:bCs/>
          <w:color w:val="000000"/>
          <w:kern w:val="0"/>
          <w:sz w:val="32"/>
          <w:szCs w:val="32"/>
          <w:lang w:bidi="ar"/>
        </w:rPr>
      </w:pPr>
      <w:r>
        <w:rPr>
          <w:rStyle w:val="10"/>
          <w:rFonts w:hint="eastAsia" w:ascii="黑体" w:hAnsi="黑体" w:eastAsia="黑体" w:cs="黑体"/>
          <w:b w:val="0"/>
          <w:bCs/>
          <w:color w:val="000000"/>
          <w:kern w:val="0"/>
          <w:sz w:val="32"/>
          <w:szCs w:val="32"/>
          <w:lang w:bidi="ar"/>
        </w:rPr>
        <w:t>二、采集平台</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全国职业院校教学工作诊断与改进专家委员会（简称全国诊改专委会）分别提供“网络版”和“标准版”两种平台供高职院校选用。“标准版”平台数据须导入“网络版”平台后提交上传。使用自主开发平台采集数据的，须使用“网络版”平台检测通过后再按要求同步上传。“网络版”和“标准版”平台可于2021年9月1日后，登陆“高等职业院校人才培养工作状态数据采集与管理平台”（http://zt.gdit.edu.cn）下载或直接登录。</w:t>
      </w:r>
    </w:p>
    <w:p>
      <w:pPr>
        <w:widowControl/>
        <w:spacing w:line="560" w:lineRule="exact"/>
        <w:ind w:firstLine="640"/>
        <w:rPr>
          <w:rStyle w:val="10"/>
          <w:rFonts w:hint="eastAsia" w:ascii="黑体" w:hAnsi="黑体" w:eastAsia="黑体" w:cs="黑体"/>
          <w:b w:val="0"/>
          <w:bCs/>
          <w:color w:val="000000"/>
          <w:kern w:val="0"/>
          <w:sz w:val="32"/>
          <w:szCs w:val="32"/>
          <w:lang w:bidi="ar"/>
        </w:rPr>
      </w:pPr>
      <w:r>
        <w:rPr>
          <w:rStyle w:val="10"/>
          <w:rFonts w:hint="eastAsia" w:ascii="黑体" w:hAnsi="黑体" w:eastAsia="黑体" w:cs="黑体"/>
          <w:b w:val="0"/>
          <w:bCs/>
          <w:color w:val="000000"/>
          <w:kern w:val="0"/>
          <w:sz w:val="32"/>
          <w:szCs w:val="32"/>
          <w:lang w:bidi="ar"/>
        </w:rPr>
        <w:t>三、有关要求</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平台数据是各级教育行政部门和职业院校全面及时掌握人才培养工作状态、发布质量年度报告、开展教学工作诊断与改进制度建设、监测重大项目建设的重要依据和基础。各地及各校要高度重视，安排专门人员，确保数据采集的真实、规范、有效，不断加强平台建设与应用。</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2.平台数据上传截止时间为2021年10月31日。上传学校对数据的真实性和完整性负责。我司将对各地和各校年度数据传送工作的时效性、合规性以及平台数据的使用情况进行通报。</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3.我司委托全国职业院校校长培训基地组织平台系统使用培训，具体安排由各培训基地另行通知。</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4.数据采集传送过程中如有疑问，可向技术人员咨询。</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通信地址及电话：北京西单大木仓胡同37号，教育部职业教育与成人教育司院校发展处，尹成鑫010-66097837</w:t>
      </w:r>
    </w:p>
    <w:p>
      <w:pPr>
        <w:widowControl/>
        <w:spacing w:line="56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技术人员及电话：谷海良0756-7796956、13392149359，QQ群385092265、220656879</w:t>
      </w:r>
    </w:p>
    <w:p>
      <w:pPr>
        <w:widowControl/>
        <w:spacing w:line="560" w:lineRule="exact"/>
        <w:ind w:firstLine="640"/>
        <w:rPr>
          <w:rFonts w:hint="eastAsia" w:ascii="仿宋" w:hAnsi="仿宋" w:eastAsia="仿宋" w:cs="仿宋"/>
          <w:color w:val="000000"/>
          <w:kern w:val="0"/>
          <w:sz w:val="32"/>
          <w:szCs w:val="32"/>
          <w:lang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spacing w:line="560" w:lineRule="exact"/>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教育部职业教育与成人教育司</w:t>
      </w:r>
    </w:p>
    <w:p>
      <w:pPr>
        <w:wordWrap w:val="0"/>
        <w:spacing w:line="560" w:lineRule="exact"/>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rPr>
        <w:t>2021年7月5日</w:t>
      </w:r>
      <w:r>
        <w:rPr>
          <w:rFonts w:hint="eastAsia" w:ascii="仿宋" w:hAnsi="仿宋" w:eastAsia="仿宋" w:cs="仿宋"/>
          <w:sz w:val="32"/>
          <w:szCs w:val="32"/>
          <w:lang w:val="en-US" w:eastAsia="zh-CN"/>
        </w:rPr>
        <w:t xml:space="preserve">     </w:t>
      </w:r>
    </w:p>
    <w:p>
      <w:pPr>
        <w:spacing w:line="560" w:lineRule="exact"/>
        <w:jc w:val="left"/>
        <w:rPr>
          <w:rFonts w:ascii="仿宋" w:hAnsi="仿宋" w:eastAsia="仿宋" w:cs="仿宋"/>
          <w:sz w:val="32"/>
          <w:szCs w:val="32"/>
        </w:rPr>
        <w:sectPr>
          <w:pgSz w:w="11906" w:h="16838"/>
          <w:pgMar w:top="2098" w:right="1474" w:bottom="1984" w:left="1587" w:header="851" w:footer="992" w:gutter="0"/>
          <w:cols w:space="0" w:num="1"/>
          <w:docGrid w:type="lines" w:linePitch="318" w:charSpace="0"/>
        </w:sect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bookmarkStart w:id="0" w:name="_GoBack"/>
      <w:bookmarkEnd w:id="0"/>
    </w:p>
    <w:p>
      <w:pPr>
        <w:spacing w:after="318" w:afterLines="100" w:line="560" w:lineRule="exact"/>
        <w:jc w:val="center"/>
        <w:rPr>
          <w:rFonts w:ascii="仿宋" w:hAnsi="仿宋" w:eastAsia="仿宋" w:cs="仿宋"/>
          <w:sz w:val="36"/>
          <w:szCs w:val="36"/>
        </w:rPr>
      </w:pPr>
      <w:r>
        <w:rPr>
          <w:rFonts w:hint="eastAsia" w:ascii="仿宋" w:hAnsi="仿宋" w:eastAsia="仿宋" w:cs="仿宋"/>
          <w:sz w:val="36"/>
          <w:szCs w:val="36"/>
        </w:rPr>
        <w:t>院校平台数据采集工作负责人情况表</w:t>
      </w:r>
    </w:p>
    <w:tbl>
      <w:tblPr>
        <w:tblStyle w:val="8"/>
        <w:tblW w:w="14260" w:type="dxa"/>
        <w:jc w:val="center"/>
        <w:tblLayout w:type="fixed"/>
        <w:tblCellMar>
          <w:top w:w="15" w:type="dxa"/>
          <w:left w:w="15" w:type="dxa"/>
          <w:bottom w:w="15" w:type="dxa"/>
          <w:right w:w="15" w:type="dxa"/>
        </w:tblCellMar>
      </w:tblPr>
      <w:tblGrid>
        <w:gridCol w:w="1352"/>
        <w:gridCol w:w="2031"/>
        <w:gridCol w:w="1066"/>
        <w:gridCol w:w="2426"/>
        <w:gridCol w:w="2666"/>
        <w:gridCol w:w="1799"/>
        <w:gridCol w:w="1925"/>
        <w:gridCol w:w="995"/>
      </w:tblGrid>
      <w:tr>
        <w:tblPrEx>
          <w:tblCellMar>
            <w:top w:w="15" w:type="dxa"/>
            <w:left w:w="15" w:type="dxa"/>
            <w:bottom w:w="15" w:type="dxa"/>
            <w:right w:w="15" w:type="dxa"/>
          </w:tblCellMar>
        </w:tblPrEx>
        <w:trPr>
          <w:trHeight w:val="390"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院校代码</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院校名称</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姓名</w:t>
            </w:r>
          </w:p>
        </w:tc>
        <w:tc>
          <w:tcPr>
            <w:tcW w:w="2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部门职务</w:t>
            </w:r>
          </w:p>
        </w:tc>
        <w:tc>
          <w:tcPr>
            <w:tcW w:w="2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办公电话（区号-号码）</w:t>
            </w: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手机</w:t>
            </w: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QQ</w:t>
            </w: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备注</w:t>
            </w:r>
          </w:p>
        </w:tc>
      </w:tr>
      <w:tr>
        <w:tblPrEx>
          <w:tblCellMar>
            <w:top w:w="15" w:type="dxa"/>
            <w:left w:w="15" w:type="dxa"/>
            <w:bottom w:w="15" w:type="dxa"/>
            <w:right w:w="15" w:type="dxa"/>
          </w:tblCellMar>
        </w:tblPrEx>
        <w:trPr>
          <w:trHeight w:val="390"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rPr>
            </w:pP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r>
      <w:tr>
        <w:tblPrEx>
          <w:tblCellMar>
            <w:top w:w="15" w:type="dxa"/>
            <w:left w:w="15" w:type="dxa"/>
            <w:bottom w:w="15" w:type="dxa"/>
            <w:right w:w="15" w:type="dxa"/>
          </w:tblCellMar>
        </w:tblPrEx>
        <w:trPr>
          <w:trHeight w:val="390"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rPr>
            </w:pP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800080"/>
                <w:sz w:val="24"/>
                <w:u w:val="single"/>
              </w:rPr>
            </w:pP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r>
      <w:tr>
        <w:tblPrEx>
          <w:tblCellMar>
            <w:top w:w="15" w:type="dxa"/>
            <w:left w:w="15" w:type="dxa"/>
            <w:bottom w:w="15" w:type="dxa"/>
            <w:right w:w="15" w:type="dxa"/>
          </w:tblCellMar>
        </w:tblPrEx>
        <w:trPr>
          <w:trHeight w:val="390"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rPr>
            </w:pP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r>
      <w:tr>
        <w:tblPrEx>
          <w:tblCellMar>
            <w:top w:w="15" w:type="dxa"/>
            <w:left w:w="15" w:type="dxa"/>
            <w:bottom w:w="15" w:type="dxa"/>
            <w:right w:w="15" w:type="dxa"/>
          </w:tblCellMar>
        </w:tblPrEx>
        <w:trPr>
          <w:trHeight w:val="390"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rPr>
            </w:pP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r>
      <w:tr>
        <w:tblPrEx>
          <w:tblCellMar>
            <w:top w:w="15" w:type="dxa"/>
            <w:left w:w="15" w:type="dxa"/>
            <w:bottom w:w="15" w:type="dxa"/>
            <w:right w:w="15" w:type="dxa"/>
          </w:tblCellMar>
        </w:tblPrEx>
        <w:trPr>
          <w:trHeight w:val="390"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rPr>
            </w:pP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4"/>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2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7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1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p>
        </w:tc>
      </w:tr>
    </w:tbl>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注：请务必于202</w:t>
      </w:r>
      <w:r>
        <w:rPr>
          <w:rFonts w:hint="eastAsia" w:ascii="仿宋" w:hAnsi="仿宋" w:eastAsia="仿宋" w:cs="仿宋"/>
          <w:sz w:val="28"/>
          <w:szCs w:val="28"/>
          <w:lang w:val="en-US" w:eastAsia="zh-CN"/>
        </w:rPr>
        <w:t>1</w:t>
      </w:r>
      <w:r>
        <w:rPr>
          <w:rFonts w:hint="eastAsia" w:ascii="仿宋" w:hAnsi="仿宋" w:eastAsia="仿宋" w:cs="仿宋"/>
          <w:sz w:val="28"/>
          <w:szCs w:val="28"/>
        </w:rPr>
        <w:t>年9月</w:t>
      </w:r>
      <w:r>
        <w:rPr>
          <w:rFonts w:hint="eastAsia" w:ascii="仿宋" w:hAnsi="仿宋" w:eastAsia="仿宋" w:cs="仿宋"/>
          <w:sz w:val="28"/>
          <w:szCs w:val="28"/>
          <w:lang w:val="en-US" w:eastAsia="zh-CN"/>
        </w:rPr>
        <w:t>10</w:t>
      </w:r>
      <w:r>
        <w:rPr>
          <w:rFonts w:hint="eastAsia" w:ascii="仿宋" w:hAnsi="仿宋" w:eastAsia="仿宋" w:cs="仿宋"/>
          <w:sz w:val="28"/>
          <w:szCs w:val="28"/>
        </w:rPr>
        <w:t>日之前，发送至邮箱249656659@qq.com。</w:t>
      </w:r>
    </w:p>
    <w:p>
      <w:pPr>
        <w:spacing w:line="560" w:lineRule="exact"/>
        <w:jc w:val="left"/>
        <w:rPr>
          <w:rFonts w:ascii="仿宋" w:hAnsi="仿宋" w:eastAsia="仿宋" w:cs="仿宋"/>
          <w:sz w:val="32"/>
          <w:szCs w:val="32"/>
        </w:rPr>
      </w:pPr>
    </w:p>
    <w:sectPr>
      <w:pgSz w:w="16838" w:h="11906" w:orient="landscape"/>
      <w:pgMar w:top="1587" w:right="2098" w:bottom="1474" w:left="1984"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5A"/>
    <w:rsid w:val="000030FA"/>
    <w:rsid w:val="000F3C90"/>
    <w:rsid w:val="0015414C"/>
    <w:rsid w:val="001A0772"/>
    <w:rsid w:val="00214B0A"/>
    <w:rsid w:val="002C6855"/>
    <w:rsid w:val="003B11CF"/>
    <w:rsid w:val="004467AC"/>
    <w:rsid w:val="00487DFD"/>
    <w:rsid w:val="0053768A"/>
    <w:rsid w:val="00541530"/>
    <w:rsid w:val="00590ADC"/>
    <w:rsid w:val="0064153B"/>
    <w:rsid w:val="00655CAA"/>
    <w:rsid w:val="0092715D"/>
    <w:rsid w:val="00952D95"/>
    <w:rsid w:val="009E00F0"/>
    <w:rsid w:val="00AD435F"/>
    <w:rsid w:val="00B005A5"/>
    <w:rsid w:val="00BD750E"/>
    <w:rsid w:val="00BE65BB"/>
    <w:rsid w:val="00C3725F"/>
    <w:rsid w:val="00CC205A"/>
    <w:rsid w:val="00DA2A42"/>
    <w:rsid w:val="00DF2058"/>
    <w:rsid w:val="00E04B91"/>
    <w:rsid w:val="00EF2F16"/>
    <w:rsid w:val="00FF7878"/>
    <w:rsid w:val="077B7935"/>
    <w:rsid w:val="07F87431"/>
    <w:rsid w:val="087676A4"/>
    <w:rsid w:val="09386432"/>
    <w:rsid w:val="0A883A07"/>
    <w:rsid w:val="117E738E"/>
    <w:rsid w:val="14137E9E"/>
    <w:rsid w:val="166B6B6E"/>
    <w:rsid w:val="17147210"/>
    <w:rsid w:val="175D45B1"/>
    <w:rsid w:val="17641CA2"/>
    <w:rsid w:val="19162FC6"/>
    <w:rsid w:val="19437C1C"/>
    <w:rsid w:val="19AF3912"/>
    <w:rsid w:val="1B302613"/>
    <w:rsid w:val="1FB43D3D"/>
    <w:rsid w:val="21BD7C4D"/>
    <w:rsid w:val="24FD2A2A"/>
    <w:rsid w:val="250C5D3C"/>
    <w:rsid w:val="251374B9"/>
    <w:rsid w:val="25EA4F89"/>
    <w:rsid w:val="27285446"/>
    <w:rsid w:val="28CE267F"/>
    <w:rsid w:val="2B6640B7"/>
    <w:rsid w:val="2C2E20C7"/>
    <w:rsid w:val="2DA8061C"/>
    <w:rsid w:val="2F793AD5"/>
    <w:rsid w:val="327211AD"/>
    <w:rsid w:val="33163302"/>
    <w:rsid w:val="34F865F1"/>
    <w:rsid w:val="36491D6B"/>
    <w:rsid w:val="37F70D52"/>
    <w:rsid w:val="39C804DA"/>
    <w:rsid w:val="3C880F41"/>
    <w:rsid w:val="3D8729CB"/>
    <w:rsid w:val="40934232"/>
    <w:rsid w:val="410E0506"/>
    <w:rsid w:val="417959B5"/>
    <w:rsid w:val="42672FD8"/>
    <w:rsid w:val="44016731"/>
    <w:rsid w:val="463F4872"/>
    <w:rsid w:val="46982C98"/>
    <w:rsid w:val="47227706"/>
    <w:rsid w:val="47806541"/>
    <w:rsid w:val="47A54C1B"/>
    <w:rsid w:val="49BF3E54"/>
    <w:rsid w:val="4C195C40"/>
    <w:rsid w:val="4C2000D9"/>
    <w:rsid w:val="4C6254D2"/>
    <w:rsid w:val="4CD12D8B"/>
    <w:rsid w:val="51E32971"/>
    <w:rsid w:val="53E31A8A"/>
    <w:rsid w:val="53F02779"/>
    <w:rsid w:val="55192DEC"/>
    <w:rsid w:val="55D04D4A"/>
    <w:rsid w:val="55F77A75"/>
    <w:rsid w:val="56B352D0"/>
    <w:rsid w:val="56CE07AF"/>
    <w:rsid w:val="58340641"/>
    <w:rsid w:val="58C43A13"/>
    <w:rsid w:val="5A40079F"/>
    <w:rsid w:val="5A4C450F"/>
    <w:rsid w:val="5CB8742E"/>
    <w:rsid w:val="5D0539D2"/>
    <w:rsid w:val="5EC11AD1"/>
    <w:rsid w:val="624B1647"/>
    <w:rsid w:val="625C7B78"/>
    <w:rsid w:val="635172E8"/>
    <w:rsid w:val="64AF26AE"/>
    <w:rsid w:val="64C77B21"/>
    <w:rsid w:val="64E00C7C"/>
    <w:rsid w:val="654B67B9"/>
    <w:rsid w:val="68287037"/>
    <w:rsid w:val="68342E03"/>
    <w:rsid w:val="69B8737C"/>
    <w:rsid w:val="6BF57F88"/>
    <w:rsid w:val="6C073FFA"/>
    <w:rsid w:val="6C4D3BFB"/>
    <w:rsid w:val="6D2C485F"/>
    <w:rsid w:val="6DBF75CE"/>
    <w:rsid w:val="6FB70663"/>
    <w:rsid w:val="744E41B3"/>
    <w:rsid w:val="74611805"/>
    <w:rsid w:val="74C5351B"/>
    <w:rsid w:val="794C206A"/>
    <w:rsid w:val="794D1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annotation subject"/>
    <w:basedOn w:val="2"/>
    <w:next w:val="2"/>
    <w:link w:val="17"/>
    <w:qFormat/>
    <w:uiPriority w:val="0"/>
    <w:rPr>
      <w:b/>
      <w:bCs/>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annotation reference"/>
    <w:basedOn w:val="9"/>
    <w:uiPriority w:val="0"/>
    <w:rPr>
      <w:sz w:val="21"/>
      <w:szCs w:val="21"/>
    </w:rPr>
  </w:style>
  <w:style w:type="character" w:customStyle="1" w:styleId="13">
    <w:name w:val="页眉 Char"/>
    <w:basedOn w:val="9"/>
    <w:link w:val="5"/>
    <w:qFormat/>
    <w:uiPriority w:val="0"/>
    <w:rPr>
      <w:kern w:val="2"/>
      <w:sz w:val="18"/>
      <w:szCs w:val="18"/>
    </w:rPr>
  </w:style>
  <w:style w:type="character" w:customStyle="1" w:styleId="14">
    <w:name w:val="页脚 Char"/>
    <w:basedOn w:val="9"/>
    <w:link w:val="4"/>
    <w:qFormat/>
    <w:uiPriority w:val="0"/>
    <w:rPr>
      <w:kern w:val="2"/>
      <w:sz w:val="18"/>
      <w:szCs w:val="18"/>
    </w:rPr>
  </w:style>
  <w:style w:type="character" w:customStyle="1" w:styleId="15">
    <w:name w:val="批注框文本 Char"/>
    <w:basedOn w:val="9"/>
    <w:link w:val="3"/>
    <w:qFormat/>
    <w:uiPriority w:val="0"/>
    <w:rPr>
      <w:kern w:val="2"/>
      <w:sz w:val="18"/>
      <w:szCs w:val="18"/>
    </w:rPr>
  </w:style>
  <w:style w:type="character" w:customStyle="1" w:styleId="16">
    <w:name w:val="批注文字 Char"/>
    <w:basedOn w:val="9"/>
    <w:link w:val="2"/>
    <w:uiPriority w:val="0"/>
    <w:rPr>
      <w:kern w:val="2"/>
      <w:sz w:val="21"/>
      <w:szCs w:val="24"/>
    </w:rPr>
  </w:style>
  <w:style w:type="character" w:customStyle="1" w:styleId="17">
    <w:name w:val="批注主题 Char"/>
    <w:basedOn w:val="16"/>
    <w:link w:val="7"/>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443</Words>
  <Characters>2529</Characters>
  <Lines>21</Lines>
  <Paragraphs>5</Paragraphs>
  <TotalTime>18</TotalTime>
  <ScaleCrop>false</ScaleCrop>
  <LinksUpToDate>false</LinksUpToDate>
  <CharactersWithSpaces>2967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2016-04-05T02:32:00Z</dcterms:created>
  <dc:creator>刘麟</dc:creator>
  <cp:lastModifiedBy>Cathy</cp:lastModifiedBy>
  <cp:lastPrinted>2017-04-24T08:43:00Z</cp:lastPrinted>
  <dcterms:modified xsi:type="dcterms:W3CDTF">2021-07-15T03:41:33Z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CDC41809A4294F00AA44B8EEC24DDBB4</vt:lpwstr>
  </property>
  <property fmtid="{D5CDD505-2E9C-101B-9397-08002B2CF9AE}" pid="4" name="KSOSaveFontToCloudKey">
    <vt:lpwstr>344310935_btnclosed</vt:lpwstr>
  </property>
</Properties>
</file>